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69" w:rsidRPr="00A55769" w:rsidRDefault="00A55769" w:rsidP="00A55769">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55769">
        <w:rPr>
          <w:rFonts w:ascii="Tahoma" w:eastAsia="Times New Roman" w:hAnsi="Tahoma" w:cs="Tahoma"/>
          <w:lang w:eastAsia="es-ES"/>
        </w:rPr>
        <w:t xml:space="preserve">Les comunicamos que el jueves </w:t>
      </w:r>
      <w:r w:rsidRPr="00A55769">
        <w:rPr>
          <w:rFonts w:ascii="Tahoma" w:eastAsia="Times New Roman" w:hAnsi="Tahoma" w:cs="Tahoma"/>
          <w:b/>
          <w:bCs/>
          <w:lang w:eastAsia="es-ES"/>
        </w:rPr>
        <w:t xml:space="preserve">29 de noviembre </w:t>
      </w:r>
      <w:r w:rsidRPr="00A55769">
        <w:rPr>
          <w:rFonts w:ascii="Tahoma" w:eastAsia="Times New Roman" w:hAnsi="Tahoma" w:cs="Tahoma"/>
          <w:lang w:eastAsia="es-ES"/>
        </w:rPr>
        <w:t>de 2012 a partir de las 15:00 h. se publicará</w:t>
      </w:r>
      <w:r w:rsidRPr="00A55769">
        <w:rPr>
          <w:rFonts w:ascii="Tahoma" w:eastAsia="Times New Roman" w:hAnsi="Tahoma" w:cs="Tahoma"/>
          <w:b/>
          <w:bCs/>
          <w:lang w:eastAsia="es-ES"/>
        </w:rPr>
        <w:t xml:space="preserve"> </w:t>
      </w:r>
      <w:r w:rsidRPr="00A55769">
        <w:rPr>
          <w:rFonts w:ascii="Tahoma" w:eastAsia="Times New Roman" w:hAnsi="Tahoma" w:cs="Tahoma"/>
          <w:lang w:eastAsia="es-ES"/>
        </w:rPr>
        <w:t xml:space="preserve">en la página Web del Servicio Andaluz de Salud la </w:t>
      </w:r>
      <w:r w:rsidRPr="00A55769">
        <w:rPr>
          <w:rFonts w:ascii="Tahoma" w:eastAsia="Times New Roman" w:hAnsi="Tahoma" w:cs="Tahoma"/>
          <w:b/>
          <w:bCs/>
          <w:lang w:eastAsia="es-ES"/>
        </w:rPr>
        <w:t>actualización completa</w:t>
      </w:r>
      <w:r w:rsidRPr="00A55769">
        <w:rPr>
          <w:rFonts w:ascii="Tahoma" w:eastAsia="Times New Roman" w:hAnsi="Tahoma" w:cs="Tahoma"/>
          <w:b/>
          <w:bCs/>
          <w:color w:val="000080"/>
          <w:lang w:eastAsia="es-ES"/>
        </w:rPr>
        <w:t xml:space="preserve"> </w:t>
      </w:r>
      <w:r w:rsidRPr="00A55769">
        <w:rPr>
          <w:rFonts w:ascii="Tahoma" w:eastAsia="Times New Roman" w:hAnsi="Tahoma" w:cs="Tahoma"/>
          <w:b/>
          <w:bCs/>
          <w:lang w:eastAsia="es-ES"/>
        </w:rPr>
        <w:t>de baremo del listado único</w:t>
      </w:r>
      <w:r w:rsidRPr="00A55769">
        <w:rPr>
          <w:rFonts w:ascii="Tahoma" w:eastAsia="Times New Roman" w:hAnsi="Tahoma" w:cs="Tahoma"/>
          <w:lang w:eastAsia="es-ES"/>
        </w:rPr>
        <w:t xml:space="preserve"> de aspirantes admitidos en bolsa, correspondientes al periodo de valoración de meritos 31 de octubre de 2011, de las siguientes especialidades:</w:t>
      </w:r>
    </w:p>
    <w:p w:rsidR="00A55769" w:rsidRPr="00A55769" w:rsidRDefault="00A55769" w:rsidP="00A55769">
      <w:pPr>
        <w:spacing w:before="100" w:beforeAutospacing="1" w:after="100" w:afterAutospacing="1" w:line="360" w:lineRule="auto"/>
        <w:ind w:left="360"/>
        <w:rPr>
          <w:rFonts w:ascii="Times New Roman" w:eastAsia="Times New Roman" w:hAnsi="Times New Roman" w:cs="Times New Roman"/>
          <w:sz w:val="24"/>
          <w:szCs w:val="24"/>
          <w:lang w:eastAsia="es-ES"/>
        </w:rPr>
      </w:pPr>
      <w:r w:rsidRPr="00A55769">
        <w:rPr>
          <w:rFonts w:ascii="Tahoma" w:eastAsia="Times New Roman" w:hAnsi="Tahoma" w:cs="Tahoma"/>
          <w:sz w:val="20"/>
          <w:szCs w:val="20"/>
          <w:lang w:eastAsia="es-ES"/>
        </w:rPr>
        <w:t> </w:t>
      </w:r>
    </w:p>
    <w:p w:rsidR="00A55769" w:rsidRPr="00A55769" w:rsidRDefault="00A55769" w:rsidP="00A55769">
      <w:pPr>
        <w:spacing w:before="100" w:beforeAutospacing="1" w:after="100" w:afterAutospacing="1" w:line="360" w:lineRule="auto"/>
        <w:ind w:left="360"/>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t></w:t>
      </w:r>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FACULTATIVO ESPECIALISTA DE ÁREA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Aparato Digestivo</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Cirugía Oral y Maxilofacial</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Cirugía Torácica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Dermatología Médico Quirúrgica y Venereología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Farmacia Hospitalaria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Medicina Intensiva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Medicina Preventiva y Salud Pública</w:t>
      </w:r>
    </w:p>
    <w:p w:rsidR="00A55769" w:rsidRPr="00A55769" w:rsidRDefault="00A55769" w:rsidP="00A55769">
      <w:pPr>
        <w:spacing w:before="100" w:beforeAutospacing="1" w:after="100" w:afterAutospacing="1" w:line="360" w:lineRule="auto"/>
        <w:ind w:left="1080"/>
        <w:rPr>
          <w:rFonts w:ascii="Times New Roman" w:eastAsia="Times New Roman" w:hAnsi="Times New Roman" w:cs="Times New Roman"/>
          <w:sz w:val="24"/>
          <w:szCs w:val="24"/>
          <w:lang w:eastAsia="es-ES"/>
        </w:rPr>
      </w:pPr>
      <w:proofErr w:type="gramStart"/>
      <w:r w:rsidRPr="00A55769">
        <w:rPr>
          <w:rFonts w:ascii="Courier New" w:eastAsia="Times New Roman" w:hAnsi="Courier New" w:cs="Courier New"/>
          <w:lang w:eastAsia="es-ES"/>
        </w:rPr>
        <w:t>o</w:t>
      </w:r>
      <w:proofErr w:type="gramEnd"/>
      <w:r w:rsidRPr="00A55769">
        <w:rPr>
          <w:rFonts w:ascii="Times New Roman" w:eastAsia="Times New Roman" w:hAnsi="Times New Roman" w:cs="Times New Roman"/>
          <w:sz w:val="14"/>
          <w:szCs w:val="14"/>
          <w:lang w:eastAsia="es-ES"/>
        </w:rPr>
        <w:t xml:space="preserve">        </w:t>
      </w:r>
      <w:r w:rsidRPr="00A55769">
        <w:rPr>
          <w:rFonts w:ascii="Times New Roman" w:eastAsia="Times New Roman" w:hAnsi="Times New Roman" w:cs="Times New Roman"/>
          <w:lang w:eastAsia="es-ES"/>
        </w:rPr>
        <w:t>Pediatría</w:t>
      </w:r>
    </w:p>
    <w:p w:rsidR="00A55769" w:rsidRPr="00A55769" w:rsidRDefault="00A55769" w:rsidP="00A55769">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55769">
        <w:rPr>
          <w:rFonts w:ascii="Tahoma" w:eastAsia="Times New Roman" w:hAnsi="Tahoma" w:cs="Tahoma"/>
          <w:lang w:eastAsia="es-ES"/>
        </w:rPr>
        <w:t> </w:t>
      </w:r>
    </w:p>
    <w:p w:rsidR="00A55769" w:rsidRPr="00A55769" w:rsidRDefault="00A55769" w:rsidP="00A55769">
      <w:pPr>
        <w:spacing w:before="100" w:beforeAutospacing="1" w:after="100" w:afterAutospacing="1" w:line="360" w:lineRule="auto"/>
        <w:jc w:val="both"/>
        <w:rPr>
          <w:rFonts w:ascii="Times New Roman" w:eastAsia="Times New Roman" w:hAnsi="Times New Roman" w:cs="Times New Roman"/>
          <w:sz w:val="24"/>
          <w:szCs w:val="24"/>
          <w:lang w:eastAsia="es-ES"/>
        </w:rPr>
      </w:pPr>
      <w:r w:rsidRPr="00A55769">
        <w:rPr>
          <w:rFonts w:ascii="Tahoma" w:eastAsia="Times New Roman" w:hAnsi="Tahoma" w:cs="Tahoma"/>
          <w:lang w:eastAsia="es-ES"/>
        </w:rPr>
        <w:t>A tal efecto, les informamos lo siguiente:</w:t>
      </w:r>
    </w:p>
    <w:p w:rsidR="00A55769" w:rsidRPr="00A55769" w:rsidRDefault="00A55769" w:rsidP="00A55769">
      <w:pPr>
        <w:spacing w:before="100" w:beforeAutospacing="1" w:after="100" w:afterAutospacing="1" w:line="360" w:lineRule="auto"/>
        <w:ind w:left="380"/>
        <w:jc w:val="both"/>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t></w:t>
      </w:r>
      <w:r w:rsidRPr="00A55769">
        <w:rPr>
          <w:rFonts w:ascii="Times New Roman" w:eastAsia="Times New Roman" w:hAnsi="Times New Roman" w:cs="Times New Roman"/>
          <w:sz w:val="14"/>
          <w:szCs w:val="14"/>
          <w:lang w:eastAsia="es-ES"/>
        </w:rPr>
        <w:t xml:space="preserve">          </w:t>
      </w:r>
      <w:r w:rsidRPr="00A55769">
        <w:rPr>
          <w:rFonts w:ascii="Tahoma" w:eastAsia="Times New Roman" w:hAnsi="Tahoma" w:cs="Tahoma"/>
          <w:lang w:eastAsia="es-ES"/>
        </w:rPr>
        <w:t xml:space="preserve">Dicha publicación inicia, para los aspirantes valorados en esta actualización completa, un </w:t>
      </w:r>
      <w:r w:rsidRPr="00A55769">
        <w:rPr>
          <w:rFonts w:ascii="Tahoma" w:eastAsia="Times New Roman" w:hAnsi="Tahoma" w:cs="Tahoma"/>
          <w:b/>
          <w:bCs/>
          <w:lang w:eastAsia="es-ES"/>
        </w:rPr>
        <w:t>plazo</w:t>
      </w:r>
      <w:r w:rsidRPr="00A55769">
        <w:rPr>
          <w:rFonts w:ascii="Tahoma" w:eastAsia="Times New Roman" w:hAnsi="Tahoma" w:cs="Tahoma"/>
          <w:lang w:eastAsia="es-ES"/>
        </w:rPr>
        <w:t xml:space="preserve"> de 10 días naturales para formular las alegaciones contra la misma que estimen pertinentes </w:t>
      </w:r>
      <w:r w:rsidRPr="00A55769">
        <w:rPr>
          <w:rFonts w:ascii="Tahoma" w:eastAsia="Times New Roman" w:hAnsi="Tahoma" w:cs="Tahoma"/>
          <w:b/>
          <w:bCs/>
          <w:lang w:eastAsia="es-ES"/>
        </w:rPr>
        <w:t>(del 30 de noviembre al 10 de diciembre de 2012, ambos incluidos –por ser el día 9 inhábil-).</w:t>
      </w:r>
      <w:r w:rsidRPr="00A55769">
        <w:rPr>
          <w:rFonts w:ascii="Tahoma" w:eastAsia="Times New Roman" w:hAnsi="Tahoma" w:cs="Tahoma"/>
          <w:lang w:eastAsia="es-ES"/>
        </w:rPr>
        <w:t xml:space="preserve"> </w:t>
      </w:r>
    </w:p>
    <w:p w:rsidR="00A55769" w:rsidRPr="00A55769" w:rsidRDefault="00A55769" w:rsidP="00A55769">
      <w:pPr>
        <w:spacing w:before="100" w:beforeAutospacing="1" w:after="100" w:afterAutospacing="1" w:line="360" w:lineRule="auto"/>
        <w:ind w:left="380"/>
        <w:jc w:val="both"/>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t></w:t>
      </w:r>
      <w:r w:rsidRPr="00A55769">
        <w:rPr>
          <w:rFonts w:ascii="Times New Roman" w:eastAsia="Times New Roman" w:hAnsi="Times New Roman" w:cs="Times New Roman"/>
          <w:sz w:val="14"/>
          <w:szCs w:val="14"/>
          <w:lang w:eastAsia="es-ES"/>
        </w:rPr>
        <w:t xml:space="preserve">          </w:t>
      </w:r>
      <w:r w:rsidRPr="00A55769">
        <w:rPr>
          <w:rFonts w:ascii="Tahoma" w:eastAsia="Times New Roman" w:hAnsi="Tahoma" w:cs="Tahoma"/>
          <w:lang w:eastAsia="es-ES"/>
        </w:rPr>
        <w:t xml:space="preserve">Desde las 15:00 h. del día 29 de noviembre los aspirantes podrán consultar la puntuación de baremo provisional y los méritos valorados por la Comisión a través de su inscripción-web en el </w:t>
      </w:r>
      <w:r w:rsidRPr="00A55769">
        <w:rPr>
          <w:rFonts w:ascii="Tahoma" w:eastAsia="Times New Roman" w:hAnsi="Tahoma" w:cs="Tahoma"/>
          <w:b/>
          <w:bCs/>
          <w:lang w:eastAsia="es-ES"/>
        </w:rPr>
        <w:t xml:space="preserve">menú "INFORMES" </w:t>
      </w:r>
      <w:r w:rsidRPr="00A55769">
        <w:rPr>
          <w:rFonts w:ascii="Tahoma" w:eastAsia="Times New Roman" w:hAnsi="Tahoma" w:cs="Tahoma"/>
          <w:lang w:eastAsia="es-ES"/>
        </w:rPr>
        <w:t xml:space="preserve">en el icono </w:t>
      </w:r>
      <w:r w:rsidRPr="00A55769">
        <w:rPr>
          <w:rFonts w:ascii="Tahoma" w:eastAsia="Times New Roman" w:hAnsi="Tahoma" w:cs="Tahoma"/>
          <w:b/>
          <w:bCs/>
          <w:lang w:eastAsia="es-ES"/>
        </w:rPr>
        <w:t>"HISTORICO BAREMOS".</w:t>
      </w:r>
    </w:p>
    <w:p w:rsidR="00A55769" w:rsidRPr="00A55769" w:rsidRDefault="00A55769" w:rsidP="00A55769">
      <w:pPr>
        <w:spacing w:before="100" w:beforeAutospacing="1" w:after="100" w:afterAutospacing="1" w:line="360" w:lineRule="auto"/>
        <w:ind w:left="380"/>
        <w:jc w:val="both"/>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lastRenderedPageBreak/>
        <w:t></w:t>
      </w:r>
      <w:r w:rsidRPr="00A55769">
        <w:rPr>
          <w:rFonts w:ascii="Times New Roman" w:eastAsia="Times New Roman" w:hAnsi="Times New Roman" w:cs="Times New Roman"/>
          <w:sz w:val="14"/>
          <w:szCs w:val="14"/>
          <w:lang w:eastAsia="es-ES"/>
        </w:rPr>
        <w:t xml:space="preserve">          </w:t>
      </w:r>
      <w:r w:rsidRPr="00A55769">
        <w:rPr>
          <w:rFonts w:ascii="Tahoma" w:eastAsia="Times New Roman" w:hAnsi="Tahoma" w:cs="Tahoma"/>
          <w:lang w:eastAsia="es-ES"/>
        </w:rPr>
        <w:t xml:space="preserve">Para ofrecer la máxima agilidad en el trámite de alegaciones disponen en la web del candidato de la herramienta llamada </w:t>
      </w:r>
      <w:r w:rsidRPr="00A55769">
        <w:rPr>
          <w:rFonts w:ascii="Tahoma" w:eastAsia="Times New Roman" w:hAnsi="Tahoma" w:cs="Tahoma"/>
          <w:b/>
          <w:bCs/>
          <w:lang w:eastAsia="es-ES"/>
        </w:rPr>
        <w:t xml:space="preserve">"GESTION DE ALEGACIONES" </w:t>
      </w:r>
      <w:r w:rsidRPr="00A55769">
        <w:rPr>
          <w:rFonts w:ascii="Tahoma" w:eastAsia="Times New Roman" w:hAnsi="Tahoma" w:cs="Tahoma"/>
          <w:lang w:eastAsia="es-ES"/>
        </w:rPr>
        <w:t xml:space="preserve">para que puedan gestionar y registrar las alegaciones vía telemática, a partir del 30 de noviembre. (La guía para facilitar la tramitación a los usuarios está disponible en la web).  </w:t>
      </w:r>
    </w:p>
    <w:p w:rsidR="00A55769" w:rsidRPr="00A55769" w:rsidRDefault="00A55769" w:rsidP="00A55769">
      <w:pPr>
        <w:spacing w:before="100" w:beforeAutospacing="1" w:after="100" w:afterAutospacing="1" w:line="360" w:lineRule="auto"/>
        <w:ind w:left="380"/>
        <w:jc w:val="both"/>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t></w:t>
      </w:r>
      <w:r w:rsidRPr="00A55769">
        <w:rPr>
          <w:rFonts w:ascii="Times New Roman" w:eastAsia="Times New Roman" w:hAnsi="Times New Roman" w:cs="Times New Roman"/>
          <w:sz w:val="14"/>
          <w:szCs w:val="14"/>
          <w:lang w:eastAsia="es-ES"/>
        </w:rPr>
        <w:t xml:space="preserve">          </w:t>
      </w:r>
      <w:r w:rsidRPr="00A55769">
        <w:rPr>
          <w:rFonts w:ascii="Tahoma" w:eastAsia="Times New Roman" w:hAnsi="Tahoma" w:cs="Tahoma"/>
          <w:lang w:eastAsia="es-ES"/>
        </w:rPr>
        <w:t xml:space="preserve">Los listados contienen aspirantes, </w:t>
      </w:r>
      <w:r w:rsidRPr="00A55769">
        <w:rPr>
          <w:rFonts w:ascii="Tahoma" w:eastAsia="Times New Roman" w:hAnsi="Tahoma" w:cs="Tahoma"/>
          <w:b/>
          <w:bCs/>
          <w:lang w:eastAsia="es-ES"/>
        </w:rPr>
        <w:t xml:space="preserve">ordenados por </w:t>
      </w:r>
      <w:proofErr w:type="spellStart"/>
      <w:r w:rsidRPr="00A55769">
        <w:rPr>
          <w:rFonts w:ascii="Tahoma" w:eastAsia="Times New Roman" w:hAnsi="Tahoma" w:cs="Tahoma"/>
          <w:b/>
          <w:bCs/>
          <w:lang w:eastAsia="es-ES"/>
        </w:rPr>
        <w:t>autobaremo</w:t>
      </w:r>
      <w:proofErr w:type="spellEnd"/>
      <w:r w:rsidRPr="00A55769">
        <w:rPr>
          <w:rFonts w:ascii="Tahoma" w:eastAsia="Times New Roman" w:hAnsi="Tahoma" w:cs="Tahoma"/>
          <w:lang w:eastAsia="es-ES"/>
        </w:rPr>
        <w:t xml:space="preserve">, con indicación de la </w:t>
      </w:r>
      <w:r w:rsidRPr="00A55769">
        <w:rPr>
          <w:rFonts w:ascii="Tahoma" w:eastAsia="Times New Roman" w:hAnsi="Tahoma" w:cs="Tahoma"/>
          <w:b/>
          <w:bCs/>
          <w:lang w:eastAsia="es-ES"/>
        </w:rPr>
        <w:t xml:space="preserve">fecha de actualización </w:t>
      </w:r>
      <w:r w:rsidRPr="00A55769">
        <w:rPr>
          <w:rFonts w:ascii="Tahoma" w:eastAsia="Times New Roman" w:hAnsi="Tahoma" w:cs="Tahoma"/>
          <w:lang w:eastAsia="es-ES"/>
        </w:rPr>
        <w:t xml:space="preserve">completa y la puntuación de baremo provisional de los aspirantes valorados por la Comisión correspondiente. En dicho listado único consta la experiencia en el Servicio Andaluz de Salud, la puntuación consignada por los aspirantes en el </w:t>
      </w:r>
      <w:proofErr w:type="spellStart"/>
      <w:r w:rsidRPr="00A55769">
        <w:rPr>
          <w:rFonts w:ascii="Tahoma" w:eastAsia="Times New Roman" w:hAnsi="Tahoma" w:cs="Tahoma"/>
          <w:lang w:eastAsia="es-ES"/>
        </w:rPr>
        <w:t>autobaremo</w:t>
      </w:r>
      <w:proofErr w:type="spellEnd"/>
      <w:r w:rsidRPr="00A55769">
        <w:rPr>
          <w:rFonts w:ascii="Tahoma" w:eastAsia="Times New Roman" w:hAnsi="Tahoma" w:cs="Tahoma"/>
          <w:lang w:eastAsia="es-ES"/>
        </w:rPr>
        <w:t xml:space="preserve"> de méritos alegados por los mismos y la puntuación provisional obtenida en cada apartado del baremo (Experiencia No SAS, Formación y Otros méritos) tras la validación de méritos efectuada por la Comisión de Valoración. Así como listados provisionales de aspirantes excluidos con indicación de la causa de exclusión. Para facilitar la búsqueda de aspirantes en los listados, éstos se podrán ordenar por apellidos y nombre. </w:t>
      </w:r>
    </w:p>
    <w:p w:rsidR="00A55769" w:rsidRPr="00A55769" w:rsidRDefault="00A55769" w:rsidP="00A55769">
      <w:pPr>
        <w:spacing w:before="100" w:beforeAutospacing="1" w:after="100" w:afterAutospacing="1" w:line="360" w:lineRule="auto"/>
        <w:ind w:left="380"/>
        <w:jc w:val="both"/>
        <w:rPr>
          <w:rFonts w:ascii="Times New Roman" w:eastAsia="Times New Roman" w:hAnsi="Times New Roman" w:cs="Times New Roman"/>
          <w:sz w:val="24"/>
          <w:szCs w:val="24"/>
          <w:lang w:eastAsia="es-ES"/>
        </w:rPr>
      </w:pPr>
      <w:r w:rsidRPr="00A55769">
        <w:rPr>
          <w:rFonts w:ascii="Symbol" w:eastAsia="Times New Roman" w:hAnsi="Symbol" w:cs="Times New Roman"/>
          <w:lang w:eastAsia="es-ES"/>
        </w:rPr>
        <w:t></w:t>
      </w:r>
      <w:r w:rsidRPr="00A55769">
        <w:rPr>
          <w:rFonts w:ascii="Times New Roman" w:eastAsia="Times New Roman" w:hAnsi="Times New Roman" w:cs="Times New Roman"/>
          <w:sz w:val="14"/>
          <w:szCs w:val="14"/>
          <w:lang w:eastAsia="es-ES"/>
        </w:rPr>
        <w:t xml:space="preserve">          </w:t>
      </w:r>
      <w:r w:rsidRPr="00A55769">
        <w:rPr>
          <w:rFonts w:ascii="Tahoma" w:eastAsia="Times New Roman" w:hAnsi="Tahoma" w:cs="Tahoma"/>
          <w:lang w:eastAsia="es-ES"/>
        </w:rPr>
        <w:t xml:space="preserve">Desde las 15:00 h. del día 29 de noviembre en la página web del SAS </w:t>
      </w:r>
      <w:hyperlink r:id="rId4" w:tgtFrame="_blank" w:tooltip="blocked::www.juntadeandalucia.es/servicioandaluzdesalud" w:history="1">
        <w:r w:rsidRPr="00A55769">
          <w:rPr>
            <w:rFonts w:ascii="Tahoma" w:eastAsia="Times New Roman" w:hAnsi="Tahoma" w:cs="Tahoma"/>
            <w:color w:val="0000FF"/>
            <w:u w:val="single"/>
            <w:lang w:eastAsia="es-ES"/>
          </w:rPr>
          <w:t>www.juntadeandalucia.es/servicioandaluzdesalud</w:t>
        </w:r>
      </w:hyperlink>
      <w:r w:rsidRPr="00A55769">
        <w:rPr>
          <w:rFonts w:ascii="Tahoma" w:eastAsia="Times New Roman" w:hAnsi="Tahoma" w:cs="Tahoma"/>
          <w:lang w:eastAsia="es-ES"/>
        </w:rPr>
        <w:t xml:space="preserve"> se pueden consultar estos listados. </w:t>
      </w:r>
    </w:p>
    <w:p w:rsidR="000B29D5" w:rsidRDefault="000B29D5"/>
    <w:sectPr w:rsidR="000B29D5" w:rsidSect="000B29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769"/>
    <w:rsid w:val="000B29D5"/>
    <w:rsid w:val="00A557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57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55769"/>
    <w:rPr>
      <w:color w:val="0000FF"/>
      <w:u w:val="single"/>
    </w:rPr>
  </w:style>
</w:styles>
</file>

<file path=word/webSettings.xml><?xml version="1.0" encoding="utf-8"?>
<w:webSettings xmlns:r="http://schemas.openxmlformats.org/officeDocument/2006/relationships" xmlns:w="http://schemas.openxmlformats.org/wordprocessingml/2006/main">
  <w:divs>
    <w:div w:id="19240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ntadeandalucia.es/servicioandaluzdesal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2260</Characters>
  <Application>Microsoft Office Word</Application>
  <DocSecurity>0</DocSecurity>
  <Lines>18</Lines>
  <Paragraphs>5</Paragraphs>
  <ScaleCrop>false</ScaleCrop>
  <Company>TOSHIBA</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isabel</cp:lastModifiedBy>
  <cp:revision>3</cp:revision>
  <dcterms:created xsi:type="dcterms:W3CDTF">2012-11-29T09:38:00Z</dcterms:created>
  <dcterms:modified xsi:type="dcterms:W3CDTF">2012-11-29T09:39:00Z</dcterms:modified>
</cp:coreProperties>
</file>